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Venus Concept,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0000FF"/>
        </w:rPr>
        <w:t>R. Scott Barry</w:t>
      </w:r>
    </w:p>
    <w:p>
      <w:pPr>
        <w:spacing w:after="0" w:line="8"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0000FF"/>
        </w:rPr>
        <w:t>21 Waterway Avenue, Suite 150,</w:t>
      </w:r>
    </w:p>
    <w:p>
      <w:pPr>
        <w:ind w:left="3560"/>
        <w:spacing w:after="0" w:line="230" w:lineRule="auto"/>
        <w:rPr>
          <w:sz w:val="20"/>
          <w:szCs w:val="20"/>
          <w:color w:val="auto"/>
        </w:rPr>
      </w:pPr>
      <w:r>
        <w:rPr>
          <w:rFonts w:ascii="Times New Roman" w:cs="Times New Roman" w:eastAsia="Times New Roman" w:hAnsi="Times New Roman"/>
          <w:sz w:val="22"/>
          <w:szCs w:val="22"/>
          <w:b w:val="1"/>
          <w:bCs w:val="1"/>
          <w:color w:val="0000FF"/>
        </w:rPr>
        <w:t>The Woodlands, TX, 77380</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(281) 364-1555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EW Healthcare Partners,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8979"/>
          </w:cols>
          <w:pgMar w:left="320" w:top="126"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Row 7, 9 and 11. 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EW Healthcare Partners-A,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139"/>
          </w:cols>
          <w:pgMar w:left="320" w:top="126" w:right="1440"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ind w:left="320" w:right="7039" w:hanging="271"/>
        <w:spacing w:after="0" w:line="371" w:lineRule="auto"/>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Row 7, 9 and 11. 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Essex Woodlands Fund IX-GP,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1160" w:right="3479" w:hanging="1112"/>
        <w:spacing w:after="0" w:line="371" w:lineRule="auto"/>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0.00</w:t>
      </w:r>
    </w:p>
    <w:p>
      <w:pPr>
        <w:jc w:val="right"/>
        <w:ind w:right="1599"/>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Row 7, 9 and 11. 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Essex Woodlands IX,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100" w:space="60"/>
            <w:col w:w="8979"/>
          </w:cols>
          <w:pgMar w:left="320" w:top="112"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Row 7, 9 and 11. 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Venus Concept,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235 Yorkland Blvd, Suite 900, Toronto, CANADA (FEDERAL LEVEL) , M2J 4Y8.</w:t>
      </w:r>
    </w:p>
    <w:p>
      <w:pPr>
        <w:spacing w:after="0" w:line="20" w:lineRule="exact"/>
        <w:rPr>
          <w:sz w:val="20"/>
          <w:szCs w:val="20"/>
          <w:color w:val="auto"/>
        </w:rPr>
      </w:pPr>
    </w:p>
    <w:p>
      <w:pPr>
        <w:jc w:val="right"/>
        <w:ind w:left="40"/>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18 ("Amendment No. 18") amends Amendment No. 17 to Schedule 13D filed on March 27,</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2026 (as amended, the "Amended Schedule 13D"), and relates to the Reporting Persons' (as defined below) beneficial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ownership of shares of the common stock, par value $0.0001 per share (the "Common Stock"), of Venus Concept Inc.</w:t>
      </w:r>
    </w:p>
    <w:p>
      <w:pPr>
        <w:spacing w:after="0" w:line="1" w:lineRule="exact"/>
        <w:rPr>
          <w:sz w:val="20"/>
          <w:szCs w:val="20"/>
          <w:color w:val="auto"/>
        </w:rPr>
      </w:pPr>
    </w:p>
    <w:p>
      <w:pPr>
        <w:jc w:val="both"/>
        <w:ind w:left="1000"/>
        <w:spacing w:after="0" w:line="234" w:lineRule="auto"/>
        <w:rPr>
          <w:sz w:val="20"/>
          <w:szCs w:val="20"/>
          <w:color w:val="auto"/>
        </w:rPr>
      </w:pPr>
      <w:r>
        <w:rPr>
          <w:rFonts w:ascii="Times New Roman" w:cs="Times New Roman" w:eastAsia="Times New Roman" w:hAnsi="Times New Roman"/>
          <w:sz w:val="22"/>
          <w:szCs w:val="22"/>
          <w:color w:val="auto"/>
        </w:rPr>
        <w:t>(the "Issuer"). Only those items that are hereby reported are amended; all other items reported in the Amended Schedule 13D remain unchanged. Information given in response to each item shall be deemed incorporated by reference in all other items, as applicable. Capitalized terms not defined in this Amendment No. 18 have the meanings ascribed to them in the Amended Schedule 13D.</w:t>
      </w:r>
    </w:p>
    <w:p>
      <w:pPr>
        <w:spacing w:after="0" w:line="1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340"/>
        <w:spacing w:after="0" w:line="247" w:lineRule="auto"/>
        <w:rPr>
          <w:sz w:val="20"/>
          <w:szCs w:val="20"/>
          <w:color w:val="auto"/>
        </w:rPr>
      </w:pPr>
      <w:r>
        <w:rPr>
          <w:rFonts w:ascii="Times New Roman" w:cs="Times New Roman" w:eastAsia="Times New Roman" w:hAnsi="Times New Roman"/>
          <w:sz w:val="21"/>
          <w:szCs w:val="21"/>
          <w:color w:val="auto"/>
        </w:rPr>
        <w:t>This Amendment No. 18 is being filed jointly by EW Healthcare Partners L.P., a Delaware limited partnership ("EWHP"), EW Healthcare Partners-A L.P., a Delaware limited partnership ("EWHP-A"), Essex Woodlands Fund IX-GP, L.P., a Delaware limited partnership ("Essex IX Fund GP"), and Essex Woodlands IX, LLC, a Delaware limited liability company ("Essex IX General Partner" and, collectively with EWHP, EWHP-A and Essex IX Fund</w:t>
      </w:r>
    </w:p>
    <w:p>
      <w:pPr>
        <w:spacing w:after="0" w:line="2" w:lineRule="exact"/>
        <w:rPr>
          <w:sz w:val="20"/>
          <w:szCs w:val="20"/>
          <w:color w:val="auto"/>
        </w:rPr>
      </w:pPr>
    </w:p>
    <w:p>
      <w:pPr>
        <w:ind w:left="960" w:right="400" w:hanging="912"/>
        <w:spacing w:after="0" w:line="233"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GP, the "Reporting Persons"). The managers of the Reporting Persons are Martin P. Sutter, R. Scott Barry, Ronald Eastman, Petri Vainio and Steve Wiggins (collectively, the "Managers"). The Managers may exercise voting and investment control over the shares of Common Stock only by majority action of the Managers. Each individual Manager disclaims beneficial ownership over the shares of Common Stock except to the extent of his respective pecuniary interest therein.</w:t>
      </w:r>
    </w:p>
    <w:p>
      <w:pPr>
        <w:spacing w:after="0" w:line="17" w:lineRule="exact"/>
        <w:rPr>
          <w:rFonts w:ascii="Times New Roman" w:cs="Times New Roman" w:eastAsia="Times New Roman" w:hAnsi="Times New Roman"/>
          <w:sz w:val="22"/>
          <w:szCs w:val="22"/>
          <w:color w:val="auto"/>
        </w:rPr>
      </w:pPr>
    </w:p>
    <w:p>
      <w:pPr>
        <w:ind w:left="960" w:right="68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 each of the Reporting Persons is 21 Waterway Avenue, Suite 150, The Woodlands, Texas 77380.</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business of EWHP and EWHP-A is growth capital investments. The principal business of Essex IX</w:t>
      </w:r>
    </w:p>
    <w:p>
      <w:pPr>
        <w:spacing w:after="0" w:line="14" w:lineRule="exact"/>
        <w:rPr>
          <w:rFonts w:ascii="Times New Roman" w:cs="Times New Roman" w:eastAsia="Times New Roman" w:hAnsi="Times New Roman"/>
          <w:sz w:val="39"/>
          <w:szCs w:val="39"/>
          <w:color w:val="auto"/>
          <w:vertAlign w:val="subscript"/>
        </w:rPr>
      </w:pPr>
    </w:p>
    <w:p>
      <w:pPr>
        <w:ind w:left="960" w:right="120" w:hanging="912"/>
        <w:spacing w:after="0" w:line="237"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GP is to act as the general partner of EWHP and EWHP-A. The principal business of Essex IX General Partner is to act as the general partner of Essex IX Fund GP.</w:t>
      </w:r>
    </w:p>
    <w:p>
      <w:pPr>
        <w:spacing w:after="0" w:line="16" w:lineRule="exact"/>
        <w:rPr>
          <w:rFonts w:ascii="Times New Roman" w:cs="Times New Roman" w:eastAsia="Times New Roman" w:hAnsi="Times New Roman"/>
          <w:sz w:val="22"/>
          <w:szCs w:val="22"/>
          <w:color w:val="auto"/>
        </w:rPr>
      </w:pPr>
    </w:p>
    <w:p>
      <w:pPr>
        <w:ind w:left="960" w:right="32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have,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have,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jc w:val="both"/>
        <w:ind w:left="960" w:right="20" w:hanging="912"/>
        <w:spacing w:after="0" w:line="184" w:lineRule="auto"/>
        <w:tabs>
          <w:tab w:leader="none" w:pos="96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60" w:right="74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EWHP is a Delaware limited partnership; EWHP-A is a Delaware limited partnership; Essex IX Fund GP is a Delaware limited partnership; and Essex IX General Partner is a Delaware limited liability company.</w:t>
      </w:r>
    </w:p>
    <w:p>
      <w:pPr>
        <w:spacing w:after="0" w:line="17"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Item 3 reported in the Amended Schedule 13D remains unchanged.</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140"/>
        <w:spacing w:after="0" w:line="256" w:lineRule="auto"/>
        <w:rPr>
          <w:sz w:val="20"/>
          <w:szCs w:val="20"/>
          <w:color w:val="auto"/>
        </w:rPr>
      </w:pPr>
      <w:r>
        <w:rPr>
          <w:rFonts w:ascii="Times New Roman" w:cs="Times New Roman" w:eastAsia="Times New Roman" w:hAnsi="Times New Roman"/>
          <w:sz w:val="22"/>
          <w:szCs w:val="22"/>
          <w:color w:val="auto"/>
        </w:rPr>
        <w:t>None of the Reporting Persons has any present plan or proposal which relates to, or could result in, any of the events referred to in paragraphs (a) through (j), inclusive, of Item 4 of Schedule 13D.</w:t>
      </w: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information set forth in Rows 7 through 13 of the cover page hereto for each Reporting Person is incorporated</w:t>
      </w:r>
    </w:p>
    <w:p>
      <w:pPr>
        <w:spacing w:after="0" w:line="14" w:lineRule="exact"/>
        <w:rPr>
          <w:sz w:val="20"/>
          <w:szCs w:val="20"/>
          <w:color w:val="auto"/>
        </w:rPr>
      </w:pPr>
    </w:p>
    <w:p>
      <w:pPr>
        <w:ind w:left="960" w:right="80" w:hanging="912"/>
        <w:spacing w:after="0" w:line="237"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 by reference for each such Reporting Person. As of the date of filing of this Amendment No. 18, the Reporting Persons do not beneficially own any securities of the Issuer.</w:t>
      </w:r>
    </w:p>
    <w:p>
      <w:pPr>
        <w:spacing w:after="0" w:line="16"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 to Item 5.(a) above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March 30, 2026</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disclosure set forth in Items 4 and 5 above is hereby incorporated by reference in this Item 6. Items reported in</w:t>
      </w:r>
    </w:p>
    <w:p>
      <w:pPr>
        <w:sectPr>
          <w:pgSz w:w="11900" w:h="16838" w:orient="portrait"/>
          <w:cols w:equalWidth="0" w:num="1">
            <w:col w:w="11200"/>
          </w:cols>
          <w:pgMar w:left="320" w:top="355" w:right="379" w:bottom="0" w:gutter="0" w:footer="0" w:header="0"/>
        </w:sectPr>
      </w:pPr>
    </w:p>
    <w:bookmarkStart w:id="5" w:name="page6"/>
    <w:bookmarkEnd w:id="5"/>
    <w:p>
      <w:pPr>
        <w:ind w:left="920" w:right="160"/>
        <w:spacing w:after="0" w:line="244" w:lineRule="auto"/>
        <w:rPr>
          <w:sz w:val="20"/>
          <w:szCs w:val="20"/>
          <w:color w:val="auto"/>
        </w:rPr>
      </w:pPr>
      <w:r>
        <w:rPr>
          <w:rFonts w:ascii="Times New Roman" w:cs="Times New Roman" w:eastAsia="Times New Roman" w:hAnsi="Times New Roman"/>
          <w:sz w:val="22"/>
          <w:szCs w:val="22"/>
          <w:color w:val="auto"/>
        </w:rPr>
        <w:t>the Amended Schedule 13D remain otherwise unchanged. Information given in response to each item shall be deemed incorporated by reference in all other items, as applicable. Capitalized terms not defined in this Amendment No. 18 have the meanings ascribed to them in the Amended Schedule 13D.</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1: Joint Filing Agreement, April 1, 2026</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EW Healthcare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 Scott Barry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Essex Woodlands Fund IX-GP, L.P.,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Essex Woodlands IX, LLC, Its General</w:t>
      </w:r>
    </w:p>
    <w:p>
      <w:pPr>
        <w:ind w:left="6740"/>
        <w:spacing w:after="0"/>
        <w:rPr>
          <w:sz w:val="20"/>
          <w:szCs w:val="20"/>
          <w:color w:val="auto"/>
        </w:rPr>
      </w:pPr>
      <w:r>
        <w:rPr>
          <w:rFonts w:ascii="Times New Roman" w:cs="Times New Roman" w:eastAsia="Times New Roman" w:hAnsi="Times New Roman"/>
          <w:sz w:val="22"/>
          <w:szCs w:val="22"/>
          <w:color w:val="auto"/>
        </w:rPr>
        <w:t>Partner, R. Scott Barry,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04/01/2026</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EW Healthcare Partners-A,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 Scott Barry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Essex Woodlands Fund IX-GP, L.P.,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Essex Woodlands IX, LLC, Its General</w:t>
      </w:r>
    </w:p>
    <w:p>
      <w:pPr>
        <w:ind w:left="6740"/>
        <w:spacing w:after="0"/>
        <w:rPr>
          <w:sz w:val="20"/>
          <w:szCs w:val="20"/>
          <w:color w:val="auto"/>
        </w:rPr>
      </w:pPr>
      <w:r>
        <w:rPr>
          <w:rFonts w:ascii="Times New Roman" w:cs="Times New Roman" w:eastAsia="Times New Roman" w:hAnsi="Times New Roman"/>
          <w:sz w:val="22"/>
          <w:szCs w:val="22"/>
          <w:color w:val="auto"/>
        </w:rPr>
        <w:t>Partner, R. Scott Barry,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04/01/2026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Essex Woodlands Fund IX-GP,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 Scott Barry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Essex Woodlands IX, LLC, Its General Partner, 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Scott Barry,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04/01/2026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Essex Woodlands IX, LLC</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 Scott Barry</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R. Scott Barry, Manager</w:t>
      </w:r>
    </w:p>
    <w:p>
      <w:pPr>
        <w:spacing w:after="0" w:line="44"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04/01/2026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7"/>
      <w:numFmt w:val="bullet"/>
      <w:start w:val="1"/>
    </w:lvl>
  </w:abstractNum>
  <w:abstractNum w:abstractNumId="4">
    <w:nsid w:val="507ED7AB"/>
    <w:multiLevelType w:val="hybridMultilevel"/>
    <w:lvl w:ilvl="0">
      <w:lvlJc w:val="left"/>
      <w:lvlText w:val="%1"/>
      <w:numFmt w:val="decimal"/>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2026-04-01T17:16:43Z</dcterms:created>
  <dcterms:modified xsi:type="dcterms:W3CDTF">2026-04-01T17:16:43Z</dcterms:modified>
</cp:coreProperties>
</file>