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9" w:lineRule="exact"/>
        <w:rPr>
          <w:sz w:val="24"/>
          <w:szCs w:val="24"/>
          <w:color w:val="auto"/>
        </w:rPr>
      </w:pPr>
    </w:p>
    <w:p>
      <w:pPr>
        <w:ind w:left="320" w:right="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-182245</wp:posOffset>
            </wp:positionV>
            <wp:extent cx="113665" cy="113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4" w:lineRule="exact"/>
        <w:rPr>
          <w:sz w:val="24"/>
          <w:szCs w:val="24"/>
          <w:color w:val="auto"/>
        </w:rPr>
      </w:pPr>
    </w:p>
    <w:p>
      <w:pPr>
        <w:ind w:left="320"/>
        <w:spacing w:after="0" w:line="23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-532765</wp:posOffset>
            </wp:positionV>
            <wp:extent cx="113665" cy="113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jc w:val="center"/>
              <w:ind w:right="40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5123815</wp:posOffset>
            </wp:positionH>
            <wp:positionV relativeFrom="paragraph">
              <wp:posOffset>-579120</wp:posOffset>
            </wp:positionV>
            <wp:extent cx="5588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2455"/>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-579120</wp:posOffset>
            </wp:positionV>
            <wp:extent cx="55880" cy="592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24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610235</wp:posOffset>
            </wp:positionV>
            <wp:extent cx="7003415" cy="889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6350"/>
                    </a:xfrm>
                    <a:prstGeom prst="rect">
                      <a:avLst/>
                    </a:prstGeom>
                    <a:noFill/>
                  </pic:spPr>
                </pic:pic>
              </a:graphicData>
            </a:graphic>
          </wp:anchor>
        </w:drawing>
      </w:r>
    </w:p>
    <w:p>
      <w:pPr>
        <w:spacing w:after="0" w:line="1033" w:lineRule="exact"/>
        <w:rPr>
          <w:sz w:val="24"/>
          <w:szCs w:val="24"/>
          <w:color w:val="auto"/>
        </w:rPr>
      </w:pPr>
    </w:p>
    <w:p>
      <w:pPr>
        <w:sectPr>
          <w:pgSz w:w="11900" w:h="16838" w:orient="portrait"/>
          <w:cols w:equalWidth="0" w:num="2">
            <w:col w:w="2280" w:space="520"/>
            <w:col w:w="8280"/>
          </w:cols>
          <w:pgMar w:left="460" w:top="210"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Madryn Asset Management, LP</w:t>
        </w:r>
      </w:hyperlink>
    </w:p>
    <w:p>
      <w:pPr>
        <w:spacing w:after="0" w:line="272"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5"/>
          <w:szCs w:val="15"/>
          <w:color w:val="0000FF"/>
        </w:rPr>
        <w:t>330 MADISON AVENUE - FLOOR 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Venus Concept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VERO</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03/26/2026</w:t>
      </w:r>
    </w:p>
    <w:p>
      <w:pPr>
        <w:spacing w:after="0" w:line="20" w:lineRule="exact"/>
        <w:rPr>
          <w:sz w:val="24"/>
          <w:szCs w:val="24"/>
          <w:color w:val="auto"/>
        </w:rPr>
      </w:pPr>
      <w:r>
        <w:rPr>
          <w:sz w:val="24"/>
          <w:szCs w:val="24"/>
          <w:color w:val="auto"/>
        </w:rPr>
        <w:br w:type="column"/>
      </w:r>
    </w:p>
    <w:p>
      <w:pPr>
        <w:ind w:left="6" w:right="840" w:hanging="6"/>
        <w:spacing w:after="0" w:line="262" w:lineRule="auto"/>
        <w:tabs>
          <w:tab w:leader="none" w:pos="138"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6"/>
        <w:spacing w:after="0"/>
        <w:tabs>
          <w:tab w:leader="none" w:pos="1730"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366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66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7"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5" w:lineRule="exact"/>
        <w:rPr>
          <w:sz w:val="24"/>
          <w:szCs w:val="24"/>
          <w:color w:val="auto"/>
        </w:rPr>
      </w:pPr>
    </w:p>
    <w:p>
      <w:pPr>
        <w:ind w:left="526"/>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74" w:lineRule="exact"/>
        <w:rPr>
          <w:sz w:val="24"/>
          <w:szCs w:val="24"/>
          <w:color w:val="auto"/>
        </w:rPr>
      </w:pPr>
    </w:p>
    <w:p>
      <w:pPr>
        <w:sectPr>
          <w:pgSz w:w="11900" w:h="16838" w:orient="portrait"/>
          <w:cols w:equalWidth="0" w:num="3">
            <w:col w:w="3180" w:space="720"/>
            <w:col w:w="3114" w:space="720"/>
            <w:col w:w="3346"/>
          </w:cols>
          <w:pgMar w:left="460" w:top="210" w:right="359" w:bottom="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11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60" w:type="dxa"/>
            <w:vAlign w:val="bottom"/>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tcPr>
          <w:p>
            <w:pPr>
              <w:ind w:left="42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202"/>
        </w:trPr>
        <w:tc>
          <w:tcPr>
            <w:tcW w:w="10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5"/>
                <w:szCs w:val="15"/>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NY</w:t>
            </w:r>
          </w:p>
        </w:tc>
        <w:tc>
          <w:tcPr>
            <w:tcW w:w="164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10017</w:t>
            </w:r>
          </w:p>
        </w:tc>
        <w:tc>
          <w:tcPr>
            <w:tcW w:w="3560" w:type="dxa"/>
            <w:vAlign w:val="bottom"/>
          </w:tcPr>
          <w:p>
            <w:pPr>
              <w:spacing w:after="0"/>
              <w:rPr>
                <w:sz w:val="17"/>
                <w:szCs w:val="17"/>
                <w:color w:val="auto"/>
              </w:rPr>
            </w:pPr>
          </w:p>
        </w:tc>
        <w:tc>
          <w:tcPr>
            <w:tcW w:w="3660" w:type="dxa"/>
            <w:vAlign w:val="bottom"/>
          </w:tcPr>
          <w:p>
            <w:pPr>
              <w:ind w:left="960"/>
              <w:spacing w:after="0"/>
              <w:rPr>
                <w:sz w:val="20"/>
                <w:szCs w:val="20"/>
                <w:color w:val="auto"/>
              </w:rPr>
            </w:pPr>
            <w:r>
              <w:rPr>
                <w:rFonts w:ascii="Arial" w:cs="Arial" w:eastAsia="Arial" w:hAnsi="Arial"/>
                <w:sz w:val="12"/>
                <w:szCs w:val="12"/>
                <w:color w:val="auto"/>
              </w:rPr>
              <w:t>Form filed by One Reporting Person</w:t>
            </w:r>
          </w:p>
        </w:tc>
      </w:tr>
      <w:tr>
        <w:trPr>
          <w:trHeight w:val="159"/>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3560" w:type="dxa"/>
            <w:vAlign w:val="bottom"/>
          </w:tcPr>
          <w:p>
            <w:pPr>
              <w:spacing w:after="0"/>
              <w:rPr>
                <w:sz w:val="13"/>
                <w:szCs w:val="13"/>
                <w:color w:val="auto"/>
              </w:rPr>
            </w:pPr>
          </w:p>
        </w:tc>
        <w:tc>
          <w:tcPr>
            <w:tcW w:w="3660" w:type="dxa"/>
            <w:vAlign w:val="bottom"/>
          </w:tcPr>
          <w:p>
            <w:pPr>
              <w:ind w:left="960"/>
              <w:spacing w:after="0"/>
              <w:rPr>
                <w:sz w:val="20"/>
                <w:szCs w:val="20"/>
                <w:color w:val="auto"/>
              </w:rPr>
            </w:pPr>
            <w:r>
              <w:rPr>
                <w:rFonts w:ascii="Arial" w:cs="Arial" w:eastAsia="Arial" w:hAnsi="Arial"/>
                <w:sz w:val="12"/>
                <w:szCs w:val="12"/>
                <w:color w:val="auto"/>
              </w:rPr>
              <w:t>Form filed by More than One Reporting Person</w:t>
            </w:r>
          </w:p>
        </w:tc>
      </w:tr>
      <w:tr>
        <w:trPr>
          <w:trHeight w:val="276"/>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(City)</w:t>
            </w:r>
          </w:p>
        </w:tc>
        <w:tc>
          <w:tcPr>
            <w:tcW w:w="980" w:type="dxa"/>
            <w:vAlign w:val="bottom"/>
          </w:tcPr>
          <w:p>
            <w:pPr>
              <w:ind w:left="180"/>
              <w:spacing w:after="0"/>
              <w:rPr>
                <w:sz w:val="20"/>
                <w:szCs w:val="20"/>
                <w:color w:val="auto"/>
              </w:rPr>
            </w:pPr>
            <w:r>
              <w:rPr>
                <w:rFonts w:ascii="Arial" w:cs="Arial" w:eastAsia="Arial" w:hAnsi="Arial"/>
                <w:sz w:val="12"/>
                <w:szCs w:val="12"/>
                <w:color w:val="auto"/>
              </w:rPr>
              <w:t>(State)</w:t>
            </w:r>
          </w:p>
        </w:tc>
        <w:tc>
          <w:tcPr>
            <w:tcW w:w="520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3660" w:type="dxa"/>
            <w:vAlign w:val="bottom"/>
          </w:tcPr>
          <w:p>
            <w:pPr>
              <w:spacing w:after="0"/>
              <w:rPr>
                <w:sz w:val="24"/>
                <w:szCs w:val="24"/>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7220" w:type="dxa"/>
            <w:vAlign w:val="bottom"/>
            <w:tcBorders>
              <w:bottom w:val="single" w:sz="8" w:color="2C2C2C"/>
            </w:tcBorders>
            <w:gridSpan w:val="2"/>
          </w:tcPr>
          <w:p>
            <w:pPr>
              <w:spacing w:after="0"/>
              <w:rPr>
                <w:sz w:val="9"/>
                <w:szCs w:val="9"/>
                <w:color w:val="auto"/>
              </w:rPr>
            </w:pPr>
          </w:p>
        </w:tc>
      </w:tr>
      <w:tr>
        <w:trPr>
          <w:trHeight w:val="232"/>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60" w:type="dxa"/>
            <w:vAlign w:val="bottom"/>
            <w:gridSpan w:val="3"/>
          </w:tcPr>
          <w:p>
            <w:pPr>
              <w:ind w:left="4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r>
    </w:tbl>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4"/>
          </w:tcPr>
          <w:p>
            <w:pPr>
              <w:ind w:left="7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36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gridSpan w:val="2"/>
          </w:tcPr>
          <w:p>
            <w:pPr>
              <w:ind w:left="760"/>
              <w:spacing w:after="0" w:line="119" w:lineRule="exact"/>
              <w:rPr>
                <w:sz w:val="20"/>
                <w:szCs w:val="20"/>
                <w:color w:val="auto"/>
              </w:rPr>
            </w:pPr>
            <w:r>
              <w:rPr>
                <w:rFonts w:ascii="Arial" w:cs="Arial" w:eastAsia="Arial" w:hAnsi="Arial"/>
                <w:sz w:val="11"/>
                <w:szCs w:val="11"/>
                <w:b w:val="1"/>
                <w:bCs w:val="1"/>
                <w:color w:val="auto"/>
                <w:w w:val="92"/>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4"/>
              </w:rPr>
              <w:t>Execution Date,</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40" w:type="dxa"/>
            <w:vAlign w:val="bottom"/>
            <w:gridSpan w:val="4"/>
          </w:tcPr>
          <w:p>
            <w:pPr>
              <w:ind w:left="760"/>
              <w:spacing w:after="0" w:line="119" w:lineRule="exact"/>
              <w:rPr>
                <w:sz w:val="20"/>
                <w:szCs w:val="20"/>
                <w:color w:val="auto"/>
              </w:rPr>
            </w:pPr>
            <w:r>
              <w:rPr>
                <w:rFonts w:ascii="Arial" w:cs="Arial" w:eastAsia="Arial" w:hAnsi="Arial"/>
                <w:sz w:val="11"/>
                <w:szCs w:val="11"/>
                <w:b w:val="1"/>
                <w:bCs w:val="1"/>
                <w:color w:val="auto"/>
              </w:rPr>
              <w:t>(Month/Day/Year)</w:t>
            </w:r>
          </w:p>
        </w:tc>
        <w:tc>
          <w:tcPr>
            <w:tcW w:w="8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Beneficially Owned</w:t>
            </w:r>
          </w:p>
        </w:tc>
        <w:tc>
          <w:tcPr>
            <w:tcW w:w="8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 or Indirect</w:t>
            </w:r>
          </w:p>
        </w:tc>
        <w:tc>
          <w:tcPr>
            <w:tcW w:w="106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Following Reported</w:t>
            </w:r>
          </w:p>
        </w:tc>
        <w:tc>
          <w:tcPr>
            <w:tcW w:w="8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 (Instr. 4)</w:t>
            </w:r>
          </w:p>
        </w:tc>
        <w:tc>
          <w:tcPr>
            <w:tcW w:w="106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w w:val="94"/>
              </w:rPr>
              <w:t>Transaction(s)</w:t>
            </w: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60" w:type="dxa"/>
            <w:vAlign w:val="bottom"/>
            <w:gridSpan w:val="3"/>
            <w:vMerge w:val="restart"/>
          </w:tcPr>
          <w:p>
            <w:pPr>
              <w:ind w:left="8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jc w:val="right"/>
              <w:ind w:right="360"/>
              <w:spacing w:after="0"/>
              <w:rPr>
                <w:sz w:val="20"/>
                <w:szCs w:val="20"/>
                <w:color w:val="auto"/>
              </w:rPr>
            </w:pPr>
            <w:r>
              <w:rPr>
                <w:rFonts w:ascii="Arial" w:cs="Arial" w:eastAsia="Arial" w:hAnsi="Arial"/>
                <w:sz w:val="11"/>
                <w:szCs w:val="11"/>
                <w:b w:val="1"/>
                <w:bCs w:val="1"/>
                <w:color w:val="auto"/>
                <w:w w:val="96"/>
              </w:rPr>
              <w:t>Price</w:t>
            </w:r>
          </w:p>
        </w:tc>
        <w:tc>
          <w:tcPr>
            <w:tcW w:w="7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46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80" w:type="dxa"/>
            <w:vAlign w:val="bottom"/>
          </w:tcPr>
          <w:p>
            <w:pPr>
              <w:spacing w:after="0"/>
              <w:rPr>
                <w:sz w:val="19"/>
                <w:szCs w:val="19"/>
                <w:color w:val="auto"/>
              </w:rPr>
            </w:pPr>
          </w:p>
        </w:tc>
        <w:tc>
          <w:tcPr>
            <w:tcW w:w="1740" w:type="dxa"/>
            <w:vAlign w:val="bottom"/>
            <w:gridSpan w:val="4"/>
            <w:vMerge w:val="restart"/>
          </w:tcPr>
          <w:p>
            <w:pPr>
              <w:ind w:left="840"/>
              <w:spacing w:after="0"/>
              <w:rPr>
                <w:sz w:val="20"/>
                <w:szCs w:val="20"/>
                <w:color w:val="auto"/>
              </w:rPr>
            </w:pPr>
            <w:r>
              <w:rPr>
                <w:rFonts w:ascii="Times New Roman" w:cs="Times New Roman" w:eastAsia="Times New Roman" w:hAnsi="Times New Roman"/>
                <w:sz w:val="15"/>
                <w:szCs w:val="15"/>
                <w:color w:val="0000FF"/>
              </w:rPr>
              <w:t>03/26/2026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P</w:t>
            </w:r>
          </w:p>
        </w:tc>
        <w:tc>
          <w:tcPr>
            <w:tcW w:w="8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0000FF"/>
              </w:rPr>
              <w:t>37,500,000</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0.04</w:t>
            </w:r>
            <w:r>
              <w:rPr>
                <w:rFonts w:ascii="Times New Roman" w:cs="Times New Roman" w:eastAsia="Times New Roman" w:hAnsi="Times New Roman"/>
                <w:sz w:val="19"/>
                <w:szCs w:val="19"/>
                <w:color w:val="008000"/>
                <w:vertAlign w:val="superscript"/>
              </w:rPr>
              <w:t>(1)</w:t>
            </w:r>
          </w:p>
        </w:tc>
        <w:tc>
          <w:tcPr>
            <w:tcW w:w="40" w:type="dxa"/>
            <w:vAlign w:val="bottom"/>
          </w:tcPr>
          <w:p>
            <w:pPr>
              <w:spacing w:after="0"/>
              <w:rPr>
                <w:sz w:val="19"/>
                <w:szCs w:val="19"/>
                <w:color w:val="auto"/>
              </w:rPr>
            </w:pPr>
          </w:p>
        </w:tc>
        <w:tc>
          <w:tcPr>
            <w:tcW w:w="11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37,510,186</w:t>
            </w:r>
          </w:p>
        </w:tc>
        <w:tc>
          <w:tcPr>
            <w:tcW w:w="380" w:type="dxa"/>
            <w:vAlign w:val="bottom"/>
          </w:tcPr>
          <w:p>
            <w:pPr>
              <w:spacing w:after="0"/>
              <w:rPr>
                <w:sz w:val="19"/>
                <w:szCs w:val="19"/>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300" w:type="dxa"/>
            <w:vAlign w:val="bottom"/>
          </w:tcPr>
          <w:p>
            <w:pPr>
              <w:ind w:left="80"/>
              <w:spacing w:after="0"/>
              <w:rPr>
                <w:sz w:val="20"/>
                <w:szCs w:val="20"/>
                <w:color w:val="auto"/>
              </w:rPr>
            </w:pPr>
            <w:r>
              <w:rPr>
                <w:rFonts w:ascii="Times New Roman" w:cs="Times New Roman" w:eastAsia="Times New Roman" w:hAnsi="Times New Roman"/>
                <w:sz w:val="15"/>
                <w:szCs w:val="15"/>
                <w:color w:val="0000FF"/>
                <w:w w:val="92"/>
              </w:rPr>
              <w:t>See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460" w:type="dxa"/>
            <w:vAlign w:val="bottom"/>
            <w:gridSpan w:val="4"/>
            <w:vMerge w:val="continue"/>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color w:val="0000FF"/>
              </w:rPr>
              <w:t>footnotes</w:t>
            </w:r>
            <w:r>
              <w:rPr>
                <w:rFonts w:ascii="Times New Roman" w:cs="Times New Roman" w:eastAsia="Times New Roman" w:hAnsi="Times New Roman"/>
                <w:sz w:val="19"/>
                <w:szCs w:val="19"/>
                <w:color w:val="008000"/>
                <w:vertAlign w:val="superscript"/>
              </w:rPr>
              <w:t>(2)(3)</w:t>
            </w: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4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80" w:type="dxa"/>
            <w:vAlign w:val="bottom"/>
            <w:tcBorders>
              <w:top w:val="single" w:sz="8" w:color="2C2C2C"/>
            </w:tcBorders>
          </w:tcPr>
          <w:p>
            <w:pPr>
              <w:spacing w:after="0"/>
              <w:rPr>
                <w:sz w:val="19"/>
                <w:szCs w:val="19"/>
                <w:color w:val="auto"/>
              </w:rPr>
            </w:pPr>
          </w:p>
        </w:tc>
        <w:tc>
          <w:tcPr>
            <w:tcW w:w="1740" w:type="dxa"/>
            <w:vAlign w:val="bottom"/>
            <w:tcBorders>
              <w:top w:val="single" w:sz="8" w:color="2C2C2C"/>
            </w:tcBorders>
            <w:gridSpan w:val="4"/>
            <w:vMerge w:val="restart"/>
          </w:tcPr>
          <w:p>
            <w:pPr>
              <w:ind w:left="840"/>
              <w:spacing w:after="0"/>
              <w:rPr>
                <w:sz w:val="20"/>
                <w:szCs w:val="20"/>
                <w:color w:val="auto"/>
              </w:rPr>
            </w:pPr>
            <w:r>
              <w:rPr>
                <w:rFonts w:ascii="Times New Roman" w:cs="Times New Roman" w:eastAsia="Times New Roman" w:hAnsi="Times New Roman"/>
                <w:sz w:val="15"/>
                <w:szCs w:val="15"/>
                <w:color w:val="0000FF"/>
              </w:rPr>
              <w:t>03/26/2026</w:t>
            </w: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2"/>
                <w:szCs w:val="12"/>
                <w:color w:val="0000FF"/>
              </w:rPr>
              <w:t>P</w:t>
            </w:r>
          </w:p>
        </w:tc>
        <w:tc>
          <w:tcPr>
            <w:tcW w:w="820" w:type="dxa"/>
            <w:vAlign w:val="bottom"/>
            <w:tcBorders>
              <w:top w:val="single" w:sz="8" w:color="2C2C2C"/>
            </w:tcBorders>
            <w:vMerge w:val="restart"/>
          </w:tcPr>
          <w:p>
            <w:pPr>
              <w:jc w:val="right"/>
              <w:ind w:right="163"/>
              <w:spacing w:after="0"/>
              <w:rPr>
                <w:sz w:val="20"/>
                <w:szCs w:val="20"/>
                <w:color w:val="auto"/>
              </w:rPr>
            </w:pPr>
            <w:r>
              <w:rPr>
                <w:rFonts w:ascii="Times New Roman" w:cs="Times New Roman" w:eastAsia="Times New Roman" w:hAnsi="Times New Roman"/>
                <w:sz w:val="15"/>
                <w:szCs w:val="15"/>
                <w:color w:val="0000FF"/>
              </w:rPr>
              <w:t>37,187</w:t>
            </w:r>
          </w:p>
        </w:tc>
        <w:tc>
          <w:tcPr>
            <w:tcW w:w="5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5"/>
                <w:szCs w:val="15"/>
                <w:color w:val="0000FF"/>
              </w:rPr>
              <w:t>A</w:t>
            </w:r>
          </w:p>
        </w:tc>
        <w:tc>
          <w:tcPr>
            <w:tcW w:w="600" w:type="dxa"/>
            <w:vAlign w:val="bottom"/>
            <w:tcBorders>
              <w:top w:val="single" w:sz="8" w:color="2C2C2C"/>
            </w:tcBorders>
            <w:vMerge w:val="restart"/>
          </w:tcPr>
          <w:p>
            <w:pPr>
              <w:jc w:val="right"/>
              <w:ind w:right="196"/>
              <w:spacing w:after="0"/>
              <w:rPr>
                <w:sz w:val="20"/>
                <w:szCs w:val="20"/>
                <w:color w:val="auto"/>
              </w:rPr>
            </w:pPr>
            <w:r>
              <w:rPr>
                <w:rFonts w:ascii="Times New Roman" w:cs="Times New Roman" w:eastAsia="Times New Roman" w:hAnsi="Times New Roman"/>
                <w:sz w:val="10"/>
                <w:szCs w:val="10"/>
                <w:color w:val="008000"/>
              </w:rPr>
              <w:t>(4)</w:t>
            </w:r>
          </w:p>
        </w:tc>
        <w:tc>
          <w:tcPr>
            <w:tcW w:w="4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37,547,373</w:t>
            </w:r>
          </w:p>
        </w:tc>
        <w:tc>
          <w:tcPr>
            <w:tcW w:w="3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5"/>
                <w:szCs w:val="15"/>
                <w:color w:val="0000FF"/>
                <w:w w:val="92"/>
              </w:rPr>
              <w:t>See</w:t>
            </w:r>
          </w:p>
        </w:tc>
        <w:tc>
          <w:tcPr>
            <w:tcW w:w="660" w:type="dxa"/>
            <w:vAlign w:val="bottom"/>
            <w:tcBorders>
              <w:top w:val="single" w:sz="8" w:color="2C2C2C"/>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46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color w:val="0000FF"/>
              </w:rPr>
              <w:t>footnotes</w:t>
            </w:r>
            <w:r>
              <w:rPr>
                <w:rFonts w:ascii="Times New Roman" w:cs="Times New Roman" w:eastAsia="Times New Roman" w:hAnsi="Times New Roman"/>
                <w:sz w:val="19"/>
                <w:szCs w:val="19"/>
                <w:color w:val="008000"/>
                <w:vertAlign w:val="superscript"/>
              </w:rPr>
              <w:t>(2)(3)</w:t>
            </w:r>
          </w:p>
        </w:tc>
        <w:tc>
          <w:tcPr>
            <w:tcW w:w="0" w:type="dxa"/>
            <w:vAlign w:val="bottom"/>
          </w:tcPr>
          <w:p>
            <w:pPr>
              <w:spacing w:after="0"/>
              <w:rPr>
                <w:sz w:val="1"/>
                <w:szCs w:val="1"/>
                <w:color w:val="auto"/>
              </w:rPr>
            </w:pPr>
          </w:p>
        </w:tc>
      </w:tr>
      <w:tr>
        <w:trPr>
          <w:trHeight w:val="188"/>
        </w:trPr>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60" w:type="dxa"/>
            <w:vAlign w:val="bottom"/>
            <w:gridSpan w:val="15"/>
          </w:tcPr>
          <w:p>
            <w:pPr>
              <w:ind w:left="2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00" w:type="dxa"/>
            <w:vAlign w:val="bottom"/>
            <w:gridSpan w:val="13"/>
          </w:tcPr>
          <w:p>
            <w:pPr>
              <w:jc w:val="right"/>
              <w:ind w:right="3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3A. Deemed</w:t>
            </w:r>
          </w:p>
        </w:tc>
        <w:tc>
          <w:tcPr>
            <w:tcW w:w="100" w:type="dxa"/>
            <w:vAlign w:val="bottom"/>
          </w:tcPr>
          <w:p>
            <w:pPr>
              <w:spacing w:after="0"/>
              <w:rPr>
                <w:sz w:val="20"/>
                <w:szCs w:val="20"/>
                <w:color w:val="auto"/>
              </w:rPr>
            </w:pPr>
            <w:r>
              <w:rPr>
                <w:rFonts w:ascii="Arial" w:cs="Arial" w:eastAsia="Arial" w:hAnsi="Arial"/>
                <w:sz w:val="11"/>
                <w:szCs w:val="11"/>
                <w:b w:val="1"/>
                <w:bCs w:val="1"/>
                <w:color w:val="auto"/>
                <w:w w:val="86"/>
              </w:rPr>
              <w:t>4.</w:t>
            </w:r>
          </w:p>
        </w:tc>
        <w:tc>
          <w:tcPr>
            <w:tcW w:w="64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700" w:type="dxa"/>
            <w:vAlign w:val="bottom"/>
          </w:tcPr>
          <w:p>
            <w:pPr>
              <w:jc w:val="center"/>
              <w:ind w:right="26"/>
              <w:spacing w:after="0"/>
              <w:rPr>
                <w:sz w:val="20"/>
                <w:szCs w:val="20"/>
                <w:color w:val="auto"/>
              </w:rPr>
            </w:pPr>
            <w:r>
              <w:rPr>
                <w:rFonts w:ascii="Arial" w:cs="Arial" w:eastAsia="Arial" w:hAnsi="Arial"/>
                <w:sz w:val="11"/>
                <w:szCs w:val="11"/>
                <w:b w:val="1"/>
                <w:bCs w:val="1"/>
                <w:color w:val="auto"/>
                <w:w w:val="94"/>
              </w:rPr>
              <w:t>8. Price of</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60" w:type="dxa"/>
            <w:vAlign w:val="bottom"/>
            <w:tcBorders>
              <w:right w:val="single" w:sz="8" w:color="2C2C2C"/>
            </w:tcBorders>
            <w:gridSpan w:val="2"/>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9"/>
        </w:trPr>
        <w:tc>
          <w:tcPr>
            <w:tcW w:w="7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700" w:type="dxa"/>
            <w:vAlign w:val="bottom"/>
          </w:tcPr>
          <w:p>
            <w:pPr>
              <w:jc w:val="center"/>
              <w:ind w:right="26"/>
              <w:spacing w:after="0" w:line="119" w:lineRule="exact"/>
              <w:rPr>
                <w:sz w:val="20"/>
                <w:szCs w:val="20"/>
                <w:color w:val="auto"/>
              </w:rPr>
            </w:pPr>
            <w:r>
              <w:rPr>
                <w:rFonts w:ascii="Arial" w:cs="Arial" w:eastAsia="Arial" w:hAnsi="Arial"/>
                <w:sz w:val="11"/>
                <w:szCs w:val="11"/>
                <w:b w:val="1"/>
                <w:bCs w:val="1"/>
                <w:color w:val="auto"/>
                <w:w w:val="94"/>
              </w:rPr>
              <w:t>Derivative</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Ownership</w:t>
            </w:r>
          </w:p>
        </w:tc>
        <w:tc>
          <w:tcPr>
            <w:tcW w:w="760" w:type="dxa"/>
            <w:vAlign w:val="bottom"/>
            <w:tcBorders>
              <w:right w:val="single" w:sz="8" w:color="2C2C2C"/>
            </w:tcBorders>
            <w:gridSpan w:val="2"/>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7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(Month/Day/Year)</w:t>
            </w:r>
          </w:p>
        </w:tc>
        <w:tc>
          <w:tcPr>
            <w:tcW w:w="11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60" w:type="dxa"/>
            <w:vAlign w:val="bottom"/>
            <w:tcBorders>
              <w:right w:val="single" w:sz="8" w:color="2C2C2C"/>
            </w:tcBorders>
            <w:gridSpan w:val="2"/>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7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0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8)</w:t>
            </w:r>
          </w:p>
        </w:tc>
        <w:tc>
          <w:tcPr>
            <w:tcW w:w="8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7"/>
              </w:rPr>
              <w:t>Acquired (A) or</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Direct (D)</w:t>
            </w:r>
          </w:p>
        </w:tc>
        <w:tc>
          <w:tcPr>
            <w:tcW w:w="760" w:type="dxa"/>
            <w:vAlign w:val="bottom"/>
            <w:tcBorders>
              <w:right w:val="single" w:sz="8" w:color="2C2C2C"/>
            </w:tcBorders>
            <w:gridSpan w:val="2"/>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5"/>
              </w:rPr>
              <w:t>Disposed of (D)</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line="119" w:lineRule="exact"/>
              <w:rPr>
                <w:sz w:val="20"/>
                <w:szCs w:val="20"/>
                <w:color w:val="auto"/>
              </w:rPr>
            </w:pPr>
            <w:r>
              <w:rPr>
                <w:rFonts w:ascii="Arial" w:cs="Arial" w:eastAsia="Arial" w:hAnsi="Arial"/>
                <w:sz w:val="11"/>
                <w:szCs w:val="11"/>
                <w:b w:val="1"/>
                <w:bCs w:val="1"/>
                <w:color w:val="auto"/>
                <w:w w:val="92"/>
              </w:rPr>
              <w:t>Owned</w:t>
            </w:r>
          </w:p>
        </w:tc>
        <w:tc>
          <w:tcPr>
            <w:tcW w:w="380" w:type="dxa"/>
            <w:vAlign w:val="bottom"/>
          </w:tcPr>
          <w:p>
            <w:pPr>
              <w:spacing w:after="0"/>
              <w:rPr>
                <w:sz w:val="10"/>
                <w:szCs w:val="10"/>
                <w:color w:val="auto"/>
              </w:rPr>
            </w:pPr>
          </w:p>
        </w:tc>
        <w:tc>
          <w:tcPr>
            <w:tcW w:w="7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or Indirect</w:t>
            </w:r>
          </w:p>
        </w:tc>
        <w:tc>
          <w:tcPr>
            <w:tcW w:w="760" w:type="dxa"/>
            <w:vAlign w:val="bottom"/>
            <w:tcBorders>
              <w:right w:val="single" w:sz="8" w:color="2C2C2C"/>
            </w:tcBorders>
            <w:gridSpan w:val="2"/>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restart"/>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4"/>
              </w:rPr>
              <w:t>Transaction(s)</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64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1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w w:val="99"/>
              </w:rPr>
              <w:t>of 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Voting</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18"/>
        </w:trPr>
        <w:tc>
          <w:tcPr>
            <w:tcW w:w="76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2"/>
                <w:szCs w:val="12"/>
                <w:color w:val="0000FF"/>
              </w:rPr>
              <w:t>Convertible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03/26/2026</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P</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0000FF"/>
                <w:w w:val="99"/>
              </w:rPr>
              <w:t>1,500,000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w w:val="92"/>
              </w:rPr>
              <w:t>03/26/2026</w:t>
            </w:r>
            <w:r>
              <w:rPr>
                <w:rFonts w:ascii="Times New Roman" w:cs="Times New Roman" w:eastAsia="Times New Roman" w:hAnsi="Times New Roman"/>
                <w:sz w:val="19"/>
                <w:szCs w:val="19"/>
                <w:color w:val="008000"/>
                <w:w w:val="92"/>
                <w:vertAlign w:val="superscript"/>
              </w:rPr>
              <w:t>(5)</w:t>
            </w:r>
          </w:p>
        </w:tc>
        <w:tc>
          <w:tcPr>
            <w:tcW w:w="820" w:type="dxa"/>
            <w:vAlign w:val="bottom"/>
            <w:vMerge w:val="restart"/>
          </w:tcPr>
          <w:p>
            <w:pPr>
              <w:jc w:val="center"/>
              <w:ind w:left="43"/>
              <w:spacing w:after="0"/>
              <w:rPr>
                <w:sz w:val="20"/>
                <w:szCs w:val="20"/>
                <w:color w:val="auto"/>
              </w:rPr>
            </w:pPr>
            <w:r>
              <w:rPr>
                <w:rFonts w:ascii="Times New Roman" w:cs="Times New Roman" w:eastAsia="Times New Roman" w:hAnsi="Times New Roman"/>
                <w:sz w:val="10"/>
                <w:szCs w:val="10"/>
                <w:color w:val="008000"/>
              </w:rPr>
              <w:t>(5)</w:t>
            </w:r>
          </w:p>
        </w:tc>
        <w:tc>
          <w:tcPr>
            <w:tcW w:w="54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0000FF"/>
                <w:w w:val="93"/>
              </w:rPr>
              <w:t>Common</w:t>
            </w:r>
          </w:p>
        </w:tc>
        <w:tc>
          <w:tcPr>
            <w:tcW w:w="600" w:type="dxa"/>
            <w:vAlign w:val="bottom"/>
            <w:vMerge w:val="restart"/>
          </w:tcPr>
          <w:p>
            <w:pPr>
              <w:jc w:val="center"/>
              <w:ind w:left="76"/>
              <w:spacing w:after="0"/>
              <w:rPr>
                <w:sz w:val="20"/>
                <w:szCs w:val="20"/>
                <w:color w:val="auto"/>
              </w:rPr>
            </w:pPr>
            <w:r>
              <w:rPr>
                <w:rFonts w:ascii="Times New Roman" w:cs="Times New Roman" w:eastAsia="Times New Roman" w:hAnsi="Times New Roman"/>
                <w:sz w:val="15"/>
                <w:szCs w:val="15"/>
                <w:color w:val="0000FF"/>
              </w:rPr>
              <w:t>90,900</w:t>
            </w:r>
          </w:p>
        </w:tc>
        <w:tc>
          <w:tcPr>
            <w:tcW w:w="4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1,500,000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0"/>
                <w:szCs w:val="10"/>
                <w:color w:val="auto"/>
              </w:rPr>
            </w:pPr>
          </w:p>
        </w:tc>
        <w:tc>
          <w:tcPr>
            <w:tcW w:w="760" w:type="dxa"/>
            <w:vAlign w:val="bottom"/>
            <w:tcBorders>
              <w:right w:val="single" w:sz="8" w:color="2C2C2C"/>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right w:val="single" w:sz="8" w:color="2C2C2C"/>
            </w:tcBorders>
            <w:gridSpan w:val="2"/>
          </w:tcPr>
          <w:p>
            <w:pPr>
              <w:ind w:left="20"/>
              <w:spacing w:after="0" w:line="144" w:lineRule="exact"/>
              <w:rPr>
                <w:sz w:val="20"/>
                <w:szCs w:val="20"/>
                <w:color w:val="auto"/>
              </w:rPr>
            </w:pPr>
            <w:r>
              <w:rPr>
                <w:rFonts w:ascii="Times New Roman" w:cs="Times New Roman" w:eastAsia="Times New Roman" w:hAnsi="Times New Roman"/>
                <w:sz w:val="10"/>
                <w:szCs w:val="10"/>
                <w:color w:val="0000FF"/>
              </w:rPr>
              <w:t>footnotes</w:t>
            </w:r>
            <w:r>
              <w:rPr>
                <w:rFonts w:ascii="Times New Roman" w:cs="Times New Roman" w:eastAsia="Times New Roman" w:hAnsi="Times New Roman"/>
                <w:sz w:val="16"/>
                <w:szCs w:val="16"/>
                <w:color w:val="008000"/>
                <w:vertAlign w:val="superscript"/>
              </w:rPr>
              <w:t>(2)(3)</w:t>
            </w:r>
          </w:p>
        </w:tc>
        <w:tc>
          <w:tcPr>
            <w:tcW w:w="0" w:type="dxa"/>
            <w:vAlign w:val="bottom"/>
          </w:tcPr>
          <w:p>
            <w:pPr>
              <w:spacing w:after="0"/>
              <w:rPr>
                <w:sz w:val="1"/>
                <w:szCs w:val="1"/>
                <w:color w:val="auto"/>
              </w:rPr>
            </w:pPr>
          </w:p>
        </w:tc>
      </w:tr>
      <w:tr>
        <w:trPr>
          <w:trHeight w:val="154"/>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Senior</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18"/>
        </w:trPr>
        <w:tc>
          <w:tcPr>
            <w:tcW w:w="76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2"/>
                <w:szCs w:val="12"/>
                <w:color w:val="0000FF"/>
              </w:rPr>
              <w:t>Convertible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03/26/2026</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P</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0000FF"/>
                <w:w w:val="99"/>
              </w:rPr>
              <w:t>1,575,810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w w:val="92"/>
              </w:rPr>
              <w:t>03/26/2026</w:t>
            </w:r>
            <w:r>
              <w:rPr>
                <w:rFonts w:ascii="Times New Roman" w:cs="Times New Roman" w:eastAsia="Times New Roman" w:hAnsi="Times New Roman"/>
                <w:sz w:val="19"/>
                <w:szCs w:val="19"/>
                <w:color w:val="008000"/>
                <w:w w:val="92"/>
                <w:vertAlign w:val="superscript"/>
              </w:rPr>
              <w:t>(7)</w:t>
            </w:r>
          </w:p>
        </w:tc>
        <w:tc>
          <w:tcPr>
            <w:tcW w:w="820" w:type="dxa"/>
            <w:vAlign w:val="bottom"/>
            <w:vMerge w:val="restart"/>
          </w:tcPr>
          <w:p>
            <w:pPr>
              <w:jc w:val="center"/>
              <w:ind w:left="43"/>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0000FF"/>
                <w:w w:val="93"/>
              </w:rPr>
              <w:t>Common</w:t>
            </w:r>
          </w:p>
        </w:tc>
        <w:tc>
          <w:tcPr>
            <w:tcW w:w="640" w:type="dxa"/>
            <w:vAlign w:val="bottom"/>
            <w:gridSpan w:val="2"/>
            <w:vMerge w:val="restart"/>
          </w:tcPr>
          <w:p>
            <w:pPr>
              <w:jc w:val="center"/>
              <w:ind w:left="36"/>
              <w:spacing w:after="0"/>
              <w:rPr>
                <w:sz w:val="20"/>
                <w:szCs w:val="20"/>
                <w:color w:val="auto"/>
              </w:rPr>
            </w:pPr>
            <w:r>
              <w:rPr>
                <w:rFonts w:ascii="Times New Roman" w:cs="Times New Roman" w:eastAsia="Times New Roman" w:hAnsi="Times New Roman"/>
                <w:sz w:val="15"/>
                <w:szCs w:val="15"/>
                <w:color w:val="0000FF"/>
              </w:rPr>
              <w:t>381,976</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1,575,810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0"/>
                <w:szCs w:val="10"/>
                <w:color w:val="auto"/>
              </w:rPr>
            </w:pPr>
          </w:p>
        </w:tc>
        <w:tc>
          <w:tcPr>
            <w:tcW w:w="760" w:type="dxa"/>
            <w:vAlign w:val="bottom"/>
            <w:tcBorders>
              <w:right w:val="single" w:sz="8" w:color="2C2C2C"/>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right w:val="single" w:sz="8" w:color="2C2C2C"/>
            </w:tcBorders>
            <w:gridSpan w:val="2"/>
          </w:tcPr>
          <w:p>
            <w:pPr>
              <w:ind w:left="20"/>
              <w:spacing w:after="0" w:line="144" w:lineRule="exact"/>
              <w:rPr>
                <w:sz w:val="20"/>
                <w:szCs w:val="20"/>
                <w:color w:val="auto"/>
              </w:rPr>
            </w:pPr>
            <w:r>
              <w:rPr>
                <w:rFonts w:ascii="Times New Roman" w:cs="Times New Roman" w:eastAsia="Times New Roman" w:hAnsi="Times New Roman"/>
                <w:sz w:val="10"/>
                <w:szCs w:val="10"/>
                <w:color w:val="0000FF"/>
              </w:rPr>
              <w:t>footnotes</w:t>
            </w:r>
            <w:r>
              <w:rPr>
                <w:rFonts w:ascii="Times New Roman" w:cs="Times New Roman" w:eastAsia="Times New Roman" w:hAnsi="Times New Roman"/>
                <w:sz w:val="16"/>
                <w:szCs w:val="16"/>
                <w:color w:val="008000"/>
                <w:vertAlign w:val="superscript"/>
              </w:rPr>
              <w:t>(2)(3)</w:t>
            </w:r>
          </w:p>
        </w:tc>
        <w:tc>
          <w:tcPr>
            <w:tcW w:w="0" w:type="dxa"/>
            <w:vAlign w:val="bottom"/>
          </w:tcPr>
          <w:p>
            <w:pPr>
              <w:spacing w:after="0"/>
              <w:rPr>
                <w:sz w:val="1"/>
                <w:szCs w:val="1"/>
                <w:color w:val="auto"/>
              </w:rPr>
            </w:pPr>
          </w:p>
        </w:tc>
      </w:tr>
      <w:tr>
        <w:trPr>
          <w:trHeight w:val="154"/>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Secured</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18"/>
        </w:trPr>
        <w:tc>
          <w:tcPr>
            <w:tcW w:w="76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2"/>
                <w:szCs w:val="12"/>
                <w:color w:val="0000FF"/>
              </w:rPr>
              <w:t>Subordinated</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auto"/>
                <w:w w:val="97"/>
              </w:rPr>
              <w:t>$</w:t>
            </w:r>
            <w:r>
              <w:rPr>
                <w:rFonts w:ascii="Times New Roman" w:cs="Times New Roman" w:eastAsia="Times New Roman" w:hAnsi="Times New Roman"/>
                <w:sz w:val="11"/>
                <w:szCs w:val="11"/>
                <w:color w:val="0000FF"/>
                <w:w w:val="97"/>
              </w:rPr>
              <w:t>13.761</w:t>
            </w:r>
            <w:r>
              <w:rPr>
                <w:rFonts w:ascii="Times New Roman" w:cs="Times New Roman" w:eastAsia="Times New Roman" w:hAnsi="Times New Roman"/>
                <w:sz w:val="19"/>
                <w:szCs w:val="19"/>
                <w:color w:val="008000"/>
                <w:w w:val="97"/>
                <w:vertAlign w:val="superscript"/>
              </w:rPr>
              <w:t>(8)</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03/26/2026</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P</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2,611,228.33</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w w:val="92"/>
              </w:rPr>
              <w:t>03/26/2026</w:t>
            </w:r>
            <w:r>
              <w:rPr>
                <w:rFonts w:ascii="Times New Roman" w:cs="Times New Roman" w:eastAsia="Times New Roman" w:hAnsi="Times New Roman"/>
                <w:sz w:val="19"/>
                <w:szCs w:val="19"/>
                <w:color w:val="008000"/>
                <w:w w:val="92"/>
                <w:vertAlign w:val="superscript"/>
              </w:rPr>
              <w:t>(8)</w:t>
            </w:r>
          </w:p>
        </w:tc>
        <w:tc>
          <w:tcPr>
            <w:tcW w:w="820" w:type="dxa"/>
            <w:vAlign w:val="bottom"/>
            <w:vMerge w:val="restart"/>
          </w:tcPr>
          <w:p>
            <w:pPr>
              <w:jc w:val="center"/>
              <w:ind w:left="23"/>
              <w:spacing w:after="0"/>
              <w:rPr>
                <w:sz w:val="20"/>
                <w:szCs w:val="20"/>
                <w:color w:val="auto"/>
              </w:rPr>
            </w:pPr>
            <w:r>
              <w:rPr>
                <w:rFonts w:ascii="Times New Roman" w:cs="Times New Roman" w:eastAsia="Times New Roman" w:hAnsi="Times New Roman"/>
                <w:sz w:val="12"/>
                <w:szCs w:val="12"/>
                <w:color w:val="0000FF"/>
                <w:w w:val="94"/>
              </w:rPr>
              <w:t>12/09/2026</w:t>
            </w:r>
            <w:r>
              <w:rPr>
                <w:rFonts w:ascii="Times New Roman" w:cs="Times New Roman" w:eastAsia="Times New Roman" w:hAnsi="Times New Roman"/>
                <w:sz w:val="19"/>
                <w:szCs w:val="19"/>
                <w:color w:val="008000"/>
                <w:w w:val="94"/>
                <w:vertAlign w:val="superscript"/>
              </w:rPr>
              <w:t>(8)</w:t>
            </w:r>
          </w:p>
        </w:tc>
        <w:tc>
          <w:tcPr>
            <w:tcW w:w="54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0000FF"/>
                <w:w w:val="93"/>
              </w:rPr>
              <w:t>Common</w:t>
            </w:r>
          </w:p>
        </w:tc>
        <w:tc>
          <w:tcPr>
            <w:tcW w:w="640" w:type="dxa"/>
            <w:vAlign w:val="bottom"/>
            <w:gridSpan w:val="2"/>
            <w:vMerge w:val="restart"/>
          </w:tcPr>
          <w:p>
            <w:pPr>
              <w:jc w:val="center"/>
              <w:ind w:left="36"/>
              <w:spacing w:after="0"/>
              <w:rPr>
                <w:sz w:val="20"/>
                <w:szCs w:val="20"/>
                <w:color w:val="auto"/>
              </w:rPr>
            </w:pPr>
            <w:r>
              <w:rPr>
                <w:rFonts w:ascii="Times New Roman" w:cs="Times New Roman" w:eastAsia="Times New Roman" w:hAnsi="Times New Roman"/>
                <w:sz w:val="15"/>
                <w:szCs w:val="15"/>
                <w:color w:val="0000FF"/>
              </w:rPr>
              <w:t>189,756</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2,611,228.33</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0"/>
                <w:szCs w:val="10"/>
                <w:color w:val="auto"/>
              </w:rPr>
            </w:pPr>
          </w:p>
        </w:tc>
        <w:tc>
          <w:tcPr>
            <w:tcW w:w="760" w:type="dxa"/>
            <w:vAlign w:val="bottom"/>
            <w:tcBorders>
              <w:right w:val="single" w:sz="8" w:color="2C2C2C"/>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right w:val="single" w:sz="8" w:color="2C2C2C"/>
            </w:tcBorders>
            <w:gridSpan w:val="2"/>
          </w:tcPr>
          <w:p>
            <w:pPr>
              <w:ind w:left="20"/>
              <w:spacing w:after="0" w:line="144" w:lineRule="exact"/>
              <w:rPr>
                <w:sz w:val="20"/>
                <w:szCs w:val="20"/>
                <w:color w:val="auto"/>
              </w:rPr>
            </w:pPr>
            <w:r>
              <w:rPr>
                <w:rFonts w:ascii="Times New Roman" w:cs="Times New Roman" w:eastAsia="Times New Roman" w:hAnsi="Times New Roman"/>
                <w:sz w:val="10"/>
                <w:szCs w:val="10"/>
                <w:color w:val="0000FF"/>
              </w:rPr>
              <w:t>footnotes</w:t>
            </w:r>
            <w:r>
              <w:rPr>
                <w:rFonts w:ascii="Times New Roman" w:cs="Times New Roman" w:eastAsia="Times New Roman" w:hAnsi="Times New Roman"/>
                <w:sz w:val="16"/>
                <w:szCs w:val="16"/>
                <w:color w:val="008000"/>
                <w:vertAlign w:val="superscript"/>
              </w:rPr>
              <w:t>(2)(3)</w:t>
            </w:r>
          </w:p>
        </w:tc>
        <w:tc>
          <w:tcPr>
            <w:tcW w:w="0" w:type="dxa"/>
            <w:vAlign w:val="bottom"/>
          </w:tcPr>
          <w:p>
            <w:pPr>
              <w:spacing w:after="0"/>
              <w:rPr>
                <w:sz w:val="1"/>
                <w:szCs w:val="1"/>
                <w:color w:val="auto"/>
              </w:rPr>
            </w:pPr>
          </w:p>
        </w:tc>
      </w:tr>
      <w:tr>
        <w:trPr>
          <w:trHeight w:val="154"/>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Notes</w:t>
            </w: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Voting</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18"/>
        </w:trPr>
        <w:tc>
          <w:tcPr>
            <w:tcW w:w="76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2"/>
                <w:szCs w:val="12"/>
                <w:color w:val="0000FF"/>
              </w:rPr>
              <w:t>Convertible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03/26/2026</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P</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0000FF"/>
              </w:rPr>
              <w:t>335,000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w w:val="92"/>
              </w:rPr>
              <w:t>03/26/2026</w:t>
            </w:r>
            <w:r>
              <w:rPr>
                <w:rFonts w:ascii="Times New Roman" w:cs="Times New Roman" w:eastAsia="Times New Roman" w:hAnsi="Times New Roman"/>
                <w:sz w:val="19"/>
                <w:szCs w:val="19"/>
                <w:color w:val="008000"/>
                <w:w w:val="92"/>
                <w:vertAlign w:val="superscript"/>
              </w:rPr>
              <w:t>(5)</w:t>
            </w:r>
          </w:p>
        </w:tc>
        <w:tc>
          <w:tcPr>
            <w:tcW w:w="820" w:type="dxa"/>
            <w:vAlign w:val="bottom"/>
            <w:vMerge w:val="restart"/>
          </w:tcPr>
          <w:p>
            <w:pPr>
              <w:jc w:val="center"/>
              <w:ind w:left="43"/>
              <w:spacing w:after="0"/>
              <w:rPr>
                <w:sz w:val="20"/>
                <w:szCs w:val="20"/>
                <w:color w:val="auto"/>
              </w:rPr>
            </w:pPr>
            <w:r>
              <w:rPr>
                <w:rFonts w:ascii="Times New Roman" w:cs="Times New Roman" w:eastAsia="Times New Roman" w:hAnsi="Times New Roman"/>
                <w:sz w:val="10"/>
                <w:szCs w:val="10"/>
                <w:color w:val="008000"/>
              </w:rPr>
              <w:t>(5)</w:t>
            </w:r>
          </w:p>
        </w:tc>
        <w:tc>
          <w:tcPr>
            <w:tcW w:w="54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0000FF"/>
                <w:w w:val="93"/>
              </w:rPr>
              <w:t>Common</w:t>
            </w:r>
          </w:p>
        </w:tc>
        <w:tc>
          <w:tcPr>
            <w:tcW w:w="600" w:type="dxa"/>
            <w:vAlign w:val="bottom"/>
            <w:vMerge w:val="restart"/>
          </w:tcPr>
          <w:p>
            <w:pPr>
              <w:jc w:val="center"/>
              <w:ind w:left="76"/>
              <w:spacing w:after="0"/>
              <w:rPr>
                <w:sz w:val="20"/>
                <w:szCs w:val="20"/>
                <w:color w:val="auto"/>
              </w:rPr>
            </w:pPr>
            <w:r>
              <w:rPr>
                <w:rFonts w:ascii="Times New Roman" w:cs="Times New Roman" w:eastAsia="Times New Roman" w:hAnsi="Times New Roman"/>
                <w:sz w:val="15"/>
                <w:szCs w:val="15"/>
                <w:color w:val="0000FF"/>
              </w:rPr>
              <w:t>20,301</w:t>
            </w:r>
          </w:p>
        </w:tc>
        <w:tc>
          <w:tcPr>
            <w:tcW w:w="4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1,835,000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0"/>
                <w:szCs w:val="10"/>
                <w:color w:val="auto"/>
              </w:rPr>
            </w:pPr>
          </w:p>
        </w:tc>
        <w:tc>
          <w:tcPr>
            <w:tcW w:w="760" w:type="dxa"/>
            <w:vAlign w:val="bottom"/>
            <w:tcBorders>
              <w:right w:val="single" w:sz="8" w:color="2C2C2C"/>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right w:val="single" w:sz="8" w:color="2C2C2C"/>
            </w:tcBorders>
            <w:gridSpan w:val="2"/>
          </w:tcPr>
          <w:p>
            <w:pPr>
              <w:ind w:left="20"/>
              <w:spacing w:after="0" w:line="144" w:lineRule="exact"/>
              <w:rPr>
                <w:sz w:val="20"/>
                <w:szCs w:val="20"/>
                <w:color w:val="auto"/>
              </w:rPr>
            </w:pPr>
            <w:r>
              <w:rPr>
                <w:rFonts w:ascii="Times New Roman" w:cs="Times New Roman" w:eastAsia="Times New Roman" w:hAnsi="Times New Roman"/>
                <w:sz w:val="10"/>
                <w:szCs w:val="10"/>
                <w:color w:val="0000FF"/>
              </w:rPr>
              <w:t>footnotes</w:t>
            </w:r>
            <w:r>
              <w:rPr>
                <w:rFonts w:ascii="Times New Roman" w:cs="Times New Roman" w:eastAsia="Times New Roman" w:hAnsi="Times New Roman"/>
                <w:sz w:val="16"/>
                <w:szCs w:val="16"/>
                <w:color w:val="008000"/>
                <w:vertAlign w:val="superscript"/>
              </w:rPr>
              <w:t>(2)(3)</w:t>
            </w:r>
          </w:p>
        </w:tc>
        <w:tc>
          <w:tcPr>
            <w:tcW w:w="0" w:type="dxa"/>
            <w:vAlign w:val="bottom"/>
          </w:tcPr>
          <w:p>
            <w:pPr>
              <w:spacing w:after="0"/>
              <w:rPr>
                <w:sz w:val="1"/>
                <w:szCs w:val="1"/>
                <w:color w:val="auto"/>
              </w:rPr>
            </w:pPr>
          </w:p>
        </w:tc>
      </w:tr>
      <w:tr>
        <w:trPr>
          <w:trHeight w:val="154"/>
        </w:trPr>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3"/>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540" w:type="dxa"/>
            <w:vAlign w:val="bottom"/>
            <w:gridSpan w:val="5"/>
          </w:tcPr>
          <w:p>
            <w:pPr>
              <w:ind w:left="60"/>
              <w:spacing w:after="0" w:line="20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440" w:type="dxa"/>
            <w:vAlign w:val="bottom"/>
            <w:gridSpan w:val="4"/>
          </w:tcPr>
          <w:p>
            <w:pPr>
              <w:spacing w:after="0" w:line="204" w:lineRule="exact"/>
              <w:rPr>
                <w:rFonts w:ascii="Times New Roman" w:cs="Times New Roman" w:eastAsia="Times New Roman" w:hAnsi="Times New Roman"/>
                <w:sz w:val="19"/>
                <w:szCs w:val="19"/>
                <w:color w:val="0000EE"/>
                <w:w w:val="99"/>
              </w:rPr>
            </w:pPr>
            <w:hyperlink r:id="rId13">
              <w:r>
                <w:rPr>
                  <w:rFonts w:ascii="Times New Roman" w:cs="Times New Roman" w:eastAsia="Times New Roman" w:hAnsi="Times New Roman"/>
                  <w:sz w:val="19"/>
                  <w:szCs w:val="19"/>
                  <w:color w:val="0000EE"/>
                  <w:w w:val="99"/>
                </w:rPr>
                <w:t>Madryn Asset Management, LP</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2"/>
                <w:szCs w:val="12"/>
                <w:color w:val="auto"/>
              </w:rPr>
              <w:t>(First)</w:t>
            </w:r>
          </w:p>
        </w:tc>
        <w:tc>
          <w:tcPr>
            <w:tcW w:w="1000" w:type="dxa"/>
            <w:vAlign w:val="bottom"/>
            <w:gridSpan w:val="2"/>
          </w:tcPr>
          <w:p>
            <w:pPr>
              <w:ind w:left="38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330 MADISON AVENUE - FLOOR 33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7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9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10017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660" w:type="dxa"/>
            <w:vAlign w:val="bottom"/>
            <w:tcBorders>
              <w:bottom w:val="single" w:sz="8" w:color="9A9A9A"/>
            </w:tcBorders>
            <w:gridSpan w:val="2"/>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gridSpan w:val="2"/>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2"/>
                <w:szCs w:val="12"/>
                <w:color w:val="auto"/>
              </w:rPr>
              <w:t>(State)</w:t>
            </w:r>
          </w:p>
        </w:tc>
        <w:tc>
          <w:tcPr>
            <w:tcW w:w="1000" w:type="dxa"/>
            <w:vAlign w:val="bottom"/>
            <w:gridSpan w:val="2"/>
          </w:tcPr>
          <w:p>
            <w:pPr>
              <w:ind w:left="380"/>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3"/>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5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4180" w:type="dxa"/>
            <w:vAlign w:val="bottom"/>
            <w:gridSpan w:val="8"/>
          </w:tcPr>
          <w:p>
            <w:pPr>
              <w:spacing w:after="0" w:line="204"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Madryn Health Partners (Cayman Master), LP</w:t>
              </w:r>
            </w:hyperlink>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94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2"/>
                <w:szCs w:val="12"/>
                <w:color w:val="auto"/>
              </w:rPr>
              <w:t>(First)</w:t>
            </w:r>
          </w:p>
        </w:tc>
        <w:tc>
          <w:tcPr>
            <w:tcW w:w="1000" w:type="dxa"/>
            <w:vAlign w:val="bottom"/>
            <w:gridSpan w:val="2"/>
          </w:tcPr>
          <w:p>
            <w:pPr>
              <w:ind w:left="38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330 MADISON AVENUE - FLOOR 33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7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9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10017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-5492115</wp:posOffset>
            </wp:positionV>
            <wp:extent cx="27940" cy="2868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940" cy="2868295"/>
                    </a:xfrm>
                    <a:prstGeom prst="rect">
                      <a:avLst/>
                    </a:prstGeom>
                    <a:noFill/>
                  </pic:spPr>
                </pic:pic>
              </a:graphicData>
            </a:graphic>
          </wp:anchor>
        </w:drawing>
      </w:r>
    </w:p>
    <w:p>
      <w:pPr>
        <w:sectPr>
          <w:pgSz w:w="11900" w:h="16838" w:orient="portrait"/>
          <w:cols w:equalWidth="0" w:num="1">
            <w:col w:w="11080"/>
          </w:cols>
          <w:pgMar w:left="460" w:top="210" w:right="359" w:bottom="0" w:gutter="0" w:footer="0" w:header="0"/>
          <w:type w:val="continuous"/>
        </w:sectPr>
      </w:pPr>
    </w:p>
    <w:p>
      <w:pPr>
        <w:spacing w:after="0" w:line="275"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10"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-125730</wp:posOffset>
            </wp:positionV>
            <wp:extent cx="2814955" cy="2931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14955" cy="2931160"/>
                    </a:xfrm>
                    <a:prstGeom prst="rect">
                      <a:avLst/>
                    </a:prstGeom>
                    <a:noFill/>
                  </pic:spPr>
                </pic:pic>
              </a:graphicData>
            </a:graphic>
          </wp:anchor>
        </w:drawing>
      </w:r>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Madryn Health Advisors, LP</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(Last)</w:t>
            </w:r>
          </w:p>
        </w:tc>
        <w:tc>
          <w:tcPr>
            <w:tcW w:w="1520" w:type="dxa"/>
            <w:vAlign w:val="bottom"/>
            <w:gridSpan w:val="2"/>
          </w:tcPr>
          <w:p>
            <w:pPr>
              <w:ind w:left="28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330 MADISON AVENUE - FLOOR 33</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4"/>
        </w:trPr>
        <w:tc>
          <w:tcPr>
            <w:tcW w:w="120" w:type="dxa"/>
            <w:vAlign w:val="bottom"/>
            <w:gridSpan w:val="2"/>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NEW YORK</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0000FF"/>
              </w:rPr>
              <w:t>NY</w:t>
            </w:r>
          </w:p>
        </w:tc>
        <w:tc>
          <w:tcPr>
            <w:tcW w:w="154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10017</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(City)</w:t>
            </w:r>
          </w:p>
        </w:tc>
        <w:tc>
          <w:tcPr>
            <w:tcW w:w="1520" w:type="dxa"/>
            <w:vAlign w:val="bottom"/>
            <w:gridSpan w:val="2"/>
          </w:tcPr>
          <w:p>
            <w:pPr>
              <w:ind w:left="28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gridSpan w:val="2"/>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5"/>
        </w:trPr>
        <w:tc>
          <w:tcPr>
            <w:tcW w:w="27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2640" w:type="dxa"/>
            <w:vAlign w:val="bottom"/>
            <w:gridSpan w:val="4"/>
          </w:tcPr>
          <w:p>
            <w:pPr>
              <w:spacing w:after="0" w:line="204"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Madryn Health Partners, LP</w:t>
              </w:r>
            </w:hyperlink>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6"/>
        </w:trPr>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(Last)</w:t>
            </w:r>
          </w:p>
        </w:tc>
        <w:tc>
          <w:tcPr>
            <w:tcW w:w="1520" w:type="dxa"/>
            <w:vAlign w:val="bottom"/>
            <w:gridSpan w:val="2"/>
          </w:tcPr>
          <w:p>
            <w:pPr>
              <w:ind w:left="28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330 MADISON AVENUE - FLOOR 33</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4"/>
        </w:trPr>
        <w:tc>
          <w:tcPr>
            <w:tcW w:w="120" w:type="dxa"/>
            <w:vAlign w:val="bottom"/>
            <w:gridSpan w:val="2"/>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NEW YORK</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0000FF"/>
              </w:rPr>
              <w:t>NY</w:t>
            </w:r>
          </w:p>
        </w:tc>
        <w:tc>
          <w:tcPr>
            <w:tcW w:w="154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10017</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(City)</w:t>
            </w:r>
          </w:p>
        </w:tc>
        <w:tc>
          <w:tcPr>
            <w:tcW w:w="1520" w:type="dxa"/>
            <w:vAlign w:val="bottom"/>
            <w:gridSpan w:val="2"/>
          </w:tcPr>
          <w:p>
            <w:pPr>
              <w:ind w:left="28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(Zip)</w:t>
            </w:r>
          </w:p>
        </w:tc>
      </w:tr>
    </w:tbl>
    <w:p>
      <w:pPr>
        <w:spacing w:after="0" w:line="1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40" w:hanging="9"/>
        <w:spacing w:after="0" w:line="255"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 Stock Purchase Agreement, dated March 26, 2026, by and among Madryn Health Partners, LP ("MHP"), Madryn Health Partners (Cayman Master), LP ("MHP Cayman" and together with MHP, the "Funds"), and the Issuer, the Issuer sold to the Funds an aggregate of 37,500,000 shares of common stock for an aggregate purchase price of $1,500,000.</w:t>
      </w:r>
    </w:p>
    <w:p>
      <w:pPr>
        <w:spacing w:after="0" w:line="16" w:lineRule="exact"/>
        <w:rPr>
          <w:rFonts w:ascii="Times New Roman" w:cs="Times New Roman" w:eastAsia="Times New Roman" w:hAnsi="Times New Roman"/>
          <w:sz w:val="12"/>
          <w:szCs w:val="12"/>
          <w:color w:val="008000"/>
        </w:rPr>
      </w:pPr>
    </w:p>
    <w:p>
      <w:pPr>
        <w:ind w:left="40" w:right="140" w:hanging="9"/>
        <w:spacing w:after="0" w:line="255"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held directly by MHP and MHP Cayman. Madryn Asset Management, LP, as investment advisor for each of the Funds, and Madryn Health Advisors, LP, as general partner of each of the Funds, may be deemed to be beneficial owners of the shares held directly by the Funds.</w:t>
      </w:r>
    </w:p>
    <w:p>
      <w:pPr>
        <w:spacing w:after="0" w:line="16"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Reporting Persons disclaims beneficial ownership of the securities reported herein, except to the extent of such Reporting Person's pecuniary interest therein.</w:t>
      </w:r>
    </w:p>
    <w:p>
      <w:pPr>
        <w:spacing w:after="0" w:line="40" w:lineRule="exact"/>
        <w:rPr>
          <w:rFonts w:ascii="Times New Roman" w:cs="Times New Roman" w:eastAsia="Times New Roman" w:hAnsi="Times New Roman"/>
          <w:sz w:val="12"/>
          <w:szCs w:val="12"/>
          <w:color w:val="008000"/>
        </w:rPr>
      </w:pPr>
    </w:p>
    <w:p>
      <w:pPr>
        <w:ind w:left="40" w:hanging="9"/>
        <w:spacing w:after="0" w:line="241"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 Securities Purchase Agreement, dated March 26, 2026, by and among the Funds and HealthQuest Partners II L.P. ("HealthQuest"), HealthQuest sold to the Funds the shares of Common Stock and Voting Convertible Preferred Stock reported herein as sold by HealthQuest to the Funds for consideration in the form of promissory notes representing an aggregate principal balance payable by the Funds to HealthQuest of $755,646.90, allocated $754,159.42 to the Voting Convertible Stock sold thereunder and $1,487.48 to the Common Stock sold thereunder.</w:t>
      </w:r>
    </w:p>
    <w:p>
      <w:pPr>
        <w:spacing w:after="0" w:line="24" w:lineRule="exact"/>
        <w:rPr>
          <w:rFonts w:ascii="Times New Roman" w:cs="Times New Roman" w:eastAsia="Times New Roman" w:hAnsi="Times New Roman"/>
          <w:sz w:val="12"/>
          <w:szCs w:val="12"/>
          <w:color w:val="008000"/>
        </w:rPr>
      </w:pPr>
    </w:p>
    <w:p>
      <w:pPr>
        <w:ind w:left="40" w:right="160" w:hanging="9"/>
        <w:spacing w:after="0" w:line="255"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Voting Convertible Preferred Stock are convertible into shares of Common Stock at a ratio of 0.0606 shares of Common Stock for each share of Voting Convertible Preferred Stock at the option of the holder at any time or by the Issuer under certain conditions. The Voting Convertible Preferred Stock is perpetual and therefore has no expiration date.</w:t>
      </w:r>
    </w:p>
    <w:p>
      <w:pPr>
        <w:spacing w:after="0" w:line="16" w:lineRule="exact"/>
        <w:rPr>
          <w:rFonts w:ascii="Times New Roman" w:cs="Times New Roman" w:eastAsia="Times New Roman" w:hAnsi="Times New Roman"/>
          <w:sz w:val="12"/>
          <w:szCs w:val="12"/>
          <w:color w:val="008000"/>
        </w:rPr>
      </w:pPr>
    </w:p>
    <w:p>
      <w:pPr>
        <w:ind w:left="40" w:hanging="9"/>
        <w:spacing w:after="0" w:line="274" w:lineRule="auto"/>
        <w:tabs>
          <w:tab w:leader="none" w:pos="159"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Pursuant to a Securities Purchase Agreement (the "EW SPA"), dated March 26, 2026, by and among EW Healthcare Partners, L.P. ("EWHP"), EW Healthcare Partners-A, L.P. ("EWHP-A" and, together with EWHP, the "EWHP Funds"), Madryn Health Partners, LP ("MHP"), Madryn Health Partners (Cayman Master), LP ("MHP Cayman" and together with MHP, the "Funds"), and the other parties thereto, the EWHP Funds sold to the Funds the shares of Senior Convertible Preferred Stock, Voting Convertible Preferred Stock and Secured Subordinated Convertible Notes reported herein as sold by the EWHP Funds to the Funds for an aggregate sale price of $2,600,000.</w:t>
      </w:r>
    </w:p>
    <w:p>
      <w:pPr>
        <w:spacing w:after="0" w:line="7" w:lineRule="exact"/>
        <w:rPr>
          <w:rFonts w:ascii="Times New Roman" w:cs="Times New Roman" w:eastAsia="Times New Roman" w:hAnsi="Times New Roman"/>
          <w:sz w:val="11"/>
          <w:szCs w:val="11"/>
          <w:color w:val="008000"/>
        </w:rPr>
      </w:pPr>
    </w:p>
    <w:p>
      <w:pPr>
        <w:ind w:left="40" w:right="160" w:hanging="9"/>
        <w:spacing w:after="0" w:line="255"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Senior Convertible Preferred Stock are convertible into shares of Common Stock at a ratio of 0.2424 shares of Common Stock for each share of Senior Convertible Preferred Stock at the option of the holder at any time or by the Issuer under certain conditions. The Senior Convertible Preferred Stock is perpetual and therefore has no expiration date.</w:t>
      </w:r>
    </w:p>
    <w:p>
      <w:pPr>
        <w:spacing w:after="0" w:line="16"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secured subordinated convertible notes (the "Notes") purchased by the Funds pursuant to the EW SPA have an aggregate principal balance of $2,611,228.33 (with accrued and unpaid interest as of March 25, 2026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$82,862.98) and are convertible at any time into an aggregate of 189,756 shares of Common Stock at a conversion rate of 72.6691 shares of Common Stock for each $1,000.00 principal amount of Notes.</w:t>
      </w:r>
    </w:p>
    <w:p>
      <w:pPr>
        <w:sectPr>
          <w:pgSz w:w="11900" w:h="16838" w:orient="portrait"/>
          <w:cols w:equalWidth="0" w:num="1">
            <w:col w:w="10920"/>
          </w:cols>
          <w:pgMar w:left="460" w:top="120" w:right="519" w:bottom="1440" w:gutter="0" w:footer="0" w:header="0"/>
        </w:sectPr>
      </w:pPr>
    </w:p>
    <w:p>
      <w:pPr>
        <w:spacing w:after="0" w:line="5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Madryn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-3810</wp:posOffset>
            </wp:positionV>
            <wp:extent cx="12338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LP, by John Ricciardi,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-9525</wp:posOffset>
            </wp:positionV>
            <wp:extent cx="13373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3731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-9525</wp:posOffset>
            </wp:positionV>
            <wp:extent cx="3822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82270" cy="7620"/>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Madryn Health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-3810</wp:posOffset>
            </wp:positionV>
            <wp:extent cx="10617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61720"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(Cayman Master), LP, by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-9525</wp:posOffset>
            </wp:positionV>
            <wp:extent cx="12007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007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Ricciardi,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-9525</wp:posOffset>
            </wp:positionV>
            <wp:extent cx="12579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57935" cy="7620"/>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Madryn Health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-3810</wp:posOffset>
            </wp:positionV>
            <wp:extent cx="13620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62075"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John Ricciardi,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-9525</wp:posOffset>
            </wp:positionV>
            <wp:extent cx="10617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617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-9525</wp:posOffset>
            </wp:positionV>
            <wp:extent cx="3822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82270" cy="7620"/>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Madryn Health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-3810</wp:posOffset>
            </wp:positionV>
            <wp:extent cx="12719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71905"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by John Ricciardi,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-9525</wp:posOffset>
            </wp:positionV>
            <wp:extent cx="118427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842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-9525</wp:posOffset>
            </wp:positionV>
            <wp:extent cx="3822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822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44767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47675" cy="762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44767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47675" cy="762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44767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47675" cy="762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44767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47675" cy="762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8740" w:space="60"/>
            <w:col w:w="2120"/>
          </w:cols>
          <w:pgMar w:left="460" w:top="120" w:right="519" w:bottom="144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40" w:right="4020" w:hanging="9"/>
        <w:spacing w:after="0" w:line="338" w:lineRule="auto"/>
        <w:tabs>
          <w:tab w:leader="none" w:pos="166"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60" w:top="12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3" Type="http://schemas.openxmlformats.org/officeDocument/2006/relationships/hyperlink" Target="http://www.sec.gov/cgi-bin/browse-edgar?action=getcompany&amp;CIK=0001787423" TargetMode="External"/><Relationship Id="rId14" Type="http://schemas.openxmlformats.org/officeDocument/2006/relationships/hyperlink" Target="http://www.sec.gov/cgi-bin/browse-edgar?action=getcompany&amp;CIK=0001409269" TargetMode="External"/><Relationship Id="rId16" Type="http://schemas.openxmlformats.org/officeDocument/2006/relationships/hyperlink" Target="http://www.sec.gov/cgi-bin/browse-edgar?action=getcompany&amp;CIK=0001836788" TargetMode="External"/><Relationship Id="rId19" Type="http://schemas.openxmlformats.org/officeDocument/2006/relationships/hyperlink" Target="http://www.sec.gov/cgi-bin/browse-edgar?action=getcompany&amp;CIK=0001836559" TargetMode="External"/><Relationship Id="rId20" Type="http://schemas.openxmlformats.org/officeDocument/2006/relationships/hyperlink" Target="http://www.sec.gov/cgi-bin/browse-edgar?action=getcompany&amp;CIK=0001650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2026-03-30T20:18:57Z</dcterms:created>
  <dcterms:modified xsi:type="dcterms:W3CDTF">2026-03-30T20:18:57Z</dcterms:modified>
</cp:coreProperties>
</file>